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color w:val="535c69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535c69"/>
          <w:sz w:val="32"/>
          <w:szCs w:val="32"/>
          <w:highlight w:val="white"/>
        </w:rPr>
      </w:r>
      <w:r>
        <w:rPr>
          <w:rFonts w:ascii="Liberation Sans" w:hAnsi="Liberation Sans" w:eastAsia="Liberation Sans" w:cs="Liberation Sans"/>
          <w:b/>
          <w:bCs/>
          <w:color w:val="535c69"/>
          <w:sz w:val="32"/>
          <w:szCs w:val="32"/>
          <w:highlight w:val="whit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color w:val="535c69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535c69"/>
          <w:sz w:val="28"/>
          <w:szCs w:val="28"/>
          <w:highlight w:val="none"/>
        </w:rPr>
        <w:t xml:space="preserve">Информация для клиентов Ломбард Корунд</w:t>
      </w:r>
      <w:r>
        <w:rPr>
          <w:rFonts w:ascii="Liberation Sans" w:hAnsi="Liberation Sans" w:eastAsia="Liberation Sans" w:cs="Liberation Sans"/>
          <w:b/>
          <w:bCs/>
          <w:color w:val="535c69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b/>
          <w:bCs/>
          <w:color w:val="535c69"/>
          <w:sz w:val="21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535c69"/>
          <w:sz w:val="21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535c69"/>
          <w:sz w:val="28"/>
          <w:szCs w:val="28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color w:val="535c69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535c69"/>
          <w:sz w:val="28"/>
          <w:szCs w:val="28"/>
          <w:highlight w:val="none"/>
        </w:rPr>
        <w:t xml:space="preserve">Выдержка из 377 - ФЗ</w:t>
      </w:r>
      <w:r>
        <w:rPr>
          <w:rFonts w:ascii="Liberation Sans" w:hAnsi="Liberation Sans" w:eastAsia="Liberation Sans" w:cs="Liberation Sans"/>
          <w:b/>
          <w:bCs/>
          <w:color w:val="535c69"/>
          <w:sz w:val="28"/>
          <w:szCs w:val="28"/>
          <w:highlight w:val="white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color w:val="535c69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535c69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535c69"/>
          <w:sz w:val="28"/>
          <w:szCs w:val="28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color w:val="535c69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535c69"/>
          <w:sz w:val="20"/>
          <w:szCs w:val="20"/>
          <w:highlight w:val="white"/>
        </w:rPr>
        <w:t xml:space="preserve">Н</w:t>
      </w:r>
      <w:r>
        <w:rPr>
          <w:rFonts w:ascii="Liberation Sans" w:hAnsi="Liberation Sans" w:eastAsia="Liberation Sans" w:cs="Liberation Sans"/>
          <w:b/>
          <w:bCs/>
          <w:color w:val="535c69"/>
          <w:sz w:val="20"/>
          <w:szCs w:val="20"/>
          <w:highlight w:val="white"/>
        </w:rPr>
        <w:t xml:space="preserve">А КОГО РАСПРОСТРАНЯЕТС</w:t>
      </w:r>
      <w:r>
        <w:rPr>
          <w:rFonts w:ascii="Liberation Sans" w:hAnsi="Liberation Sans" w:eastAsia="Liberation Sans" w:cs="Liberation Sans"/>
          <w:b/>
          <w:bCs/>
          <w:color w:val="535c69"/>
          <w:sz w:val="20"/>
          <w:szCs w:val="20"/>
          <w:highlight w:val="white"/>
        </w:rPr>
        <w:t xml:space="preserve">Я:</w:t>
      </w:r>
      <w:r>
        <w:rPr>
          <w:sz w:val="20"/>
          <w:szCs w:val="20"/>
        </w:rPr>
      </w:r>
      <w:r>
        <w:rPr>
          <w:rFonts w:ascii="Liberation Sans" w:hAnsi="Liberation Sans" w:eastAsia="Liberation Sans" w:cs="Liberation Sans"/>
          <w:b/>
          <w:bCs/>
          <w:color w:val="535c69"/>
          <w:sz w:val="20"/>
          <w:szCs w:val="20"/>
          <w:highlight w:val="white"/>
        </w:rPr>
      </w:r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· призванными на военную службу по мобилизации;</w:t>
      </w:r>
      <w:r/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· уже принимающими участие в специальной военной операции (СВО), в т. ч. служащими в Вооруженных силах РФ по контракту, войсках нацгвардии, других военизированных организациях и органах;</w:t>
      </w:r>
      <w:r/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· добровольцами (заключили контракты о добровольном содействии в выполнении задач, возложенных на Вооруженные силы);</w:t>
      </w:r>
      <w:r/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· членами их семей.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0"/>
          <w:szCs w:val="20"/>
          <w:highlight w:val="none"/>
        </w:rPr>
      </w:r>
      <w:r>
        <w:rPr>
          <w:rFonts w:ascii="Liberation Sans" w:hAnsi="Liberation Sans" w:eastAsia="Liberation Sans" w:cs="Liberation Sans"/>
          <w:color w:val="535c69"/>
          <w:sz w:val="20"/>
          <w:szCs w:val="20"/>
          <w:highlight w:val="none"/>
        </w:rPr>
      </w:r>
      <w:r>
        <w:rPr>
          <w:sz w:val="20"/>
          <w:szCs w:val="20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b/>
          <w:bCs/>
          <w:color w:val="535c69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535c69"/>
          <w:sz w:val="20"/>
          <w:szCs w:val="20"/>
          <w:highlight w:val="white"/>
        </w:rPr>
        <w:t xml:space="preserve">СРОКИ</w:t>
      </w:r>
      <w:r>
        <w:rPr>
          <w:b/>
          <w:bCs/>
          <w:sz w:val="20"/>
          <w:szCs w:val="20"/>
        </w:rPr>
      </w:r>
      <w:r>
        <w:rPr>
          <w:sz w:val="20"/>
          <w:szCs w:val="20"/>
        </w:rPr>
      </w:r>
    </w:p>
    <w:p>
      <w:pPr>
        <w:ind w:left="0" w:right="0" w:firstLine="0"/>
        <w:spacing w:before="210" w:after="210"/>
        <w:shd w:val="clear" w:color="ffffff" w:fill="ffffff"/>
        <w:rPr>
          <w:rFonts w:ascii="Liberation Sans" w:hAnsi="Liberation Sans" w:eastAsia="Liberation Sans" w:cs="Liberation Sans"/>
          <w:color w:val="535c69"/>
          <w:sz w:val="21"/>
          <w:szCs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Кредитные каникулы предоставляют по </w:t>
      </w:r>
      <w:r>
        <w:rPr>
          <w:rFonts w:ascii="Liberation Sans" w:hAnsi="Liberation Sans" w:eastAsia="Liberation Sans" w:cs="Liberation Sans"/>
          <w:color w:val="535c69"/>
          <w:sz w:val="32"/>
          <w:szCs w:val="32"/>
        </w:rPr>
      </w:r>
      <w:r>
        <w:rPr>
          <w:rFonts w:ascii="Liberation Sans" w:hAnsi="Liberation Sans" w:eastAsia="Liberation Sans" w:cs="Liberation Sans"/>
          <w:color w:val="535c69"/>
          <w:sz w:val="21"/>
        </w:rPr>
        <w:t xml:space="preserve">заявлению на срок службы по контракту или участия в СВО плюс 30 дней. Он может быть продлен на время, пока заемщик находится в стационаре на лечении от ранений, травм, контузий или заболеваний, полученных в ходе СВО.</w:t>
      </w:r>
      <w:r/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Каникулы можно оформить в любой момент, пока действует договор займа, но до 31 декабря 2023 года.</w:t>
      </w:r>
      <w:r/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При этом кредитные каникулы не могут начинаться ранее 21 сентября 2022 года.</w:t>
      </w:r>
      <w:r/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Если дата начала льготного периода в требовании не определена, ею считается дата направления требования заемщика кредитору.</w:t>
      </w:r>
      <w:r/>
    </w:p>
    <w:p>
      <w:pPr>
        <w:ind w:left="0" w:right="0" w:firstLine="0"/>
        <w:spacing w:before="210" w:after="210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  <w:highlight w:val="none"/>
        </w:rPr>
      </w:r>
      <w:r>
        <w:rPr>
          <w:rFonts w:ascii="Liberation Sans" w:hAnsi="Liberation Sans" w:eastAsia="Liberation Sans" w:cs="Liberation Sans"/>
          <w:color w:val="535c69"/>
          <w:sz w:val="21"/>
          <w:highlight w:val="none"/>
        </w:rPr>
      </w:r>
      <w:r/>
    </w:p>
    <w:p>
      <w:pPr>
        <w:ind w:left="0" w:right="0" w:firstLine="0"/>
        <w:spacing w:before="210" w:after="210"/>
        <w:shd w:val="clear" w:color="ffffff" w:fill="ffffff"/>
        <w:rPr>
          <w:rFonts w:ascii="Liberation Sans" w:hAnsi="Liberation Sans" w:eastAsia="Liberation Sans" w:cs="Liberation Sans"/>
          <w:b/>
          <w:bCs/>
          <w:color w:val="535c69"/>
          <w:sz w:val="21"/>
          <w:szCs w:val="2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535c69"/>
          <w:sz w:val="20"/>
          <w:szCs w:val="20"/>
        </w:rPr>
        <w:t xml:space="preserve">КАК ОФОРМИТЬ ОТСРОЧКУ</w:t>
      </w:r>
      <w:r>
        <w:rPr>
          <w:b/>
          <w:bCs/>
          <w:sz w:val="20"/>
          <w:szCs w:val="20"/>
        </w:rPr>
      </w:r>
      <w:r/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Нужно обратиться ломбард:</w:t>
      </w:r>
      <w:r/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·  по телефону;</w:t>
      </w:r>
      <w:r/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·  любым способом, который указан в Залоговом Билете (например, по обычной или электронной почте).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1"/>
          <w:szCs w:val="21"/>
        </w:rPr>
      </w:r>
      <w:r>
        <w:rPr>
          <w:rFonts w:ascii="Liberation Sans" w:hAnsi="Liberation Sans" w:eastAsia="Liberation Sans" w:cs="Liberation Sans"/>
          <w:sz w:val="21"/>
          <w:szCs w:val="21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  <w:highlight w:val="none"/>
        </w:rPr>
      </w:r>
      <w:r>
        <w:rPr>
          <w:rFonts w:ascii="Liberation Sans" w:hAnsi="Liberation Sans" w:eastAsia="Liberation Sans" w:cs="Liberation Sans"/>
          <w:color w:val="535c69"/>
          <w:sz w:val="21"/>
          <w:highlight w:val="none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color w:val="535c69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535c69"/>
          <w:sz w:val="20"/>
          <w:szCs w:val="20"/>
          <w:highlight w:val="white"/>
        </w:rPr>
        <w:t xml:space="preserve">ПЛАТЕЖИ И ПРОЦЕНТЫ</w:t>
      </w:r>
      <w:r>
        <w:rPr>
          <w:sz w:val="20"/>
          <w:szCs w:val="20"/>
        </w:rPr>
      </w:r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Прервать кредитные каникулы и вернуться в график платежей можно в любой момент – достаточно уведомить об этом кредитора.</w:t>
      </w:r>
      <w:r/>
    </w:p>
    <w:p>
      <w:pPr>
        <w:ind w:left="0" w:right="0" w:firstLine="0"/>
        <w:spacing w:before="21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535c69"/>
          <w:sz w:val="21"/>
        </w:rPr>
        <w:t xml:space="preserve">Размер ставки в момент действия кредитных каникул:  2/3 от среднерыночного значения полной стоимости кредита, установленного Банком России на дату обращения за каникулами (но не выше изначальной процентной ставки по договору).</w:t>
      </w:r>
      <w:r/>
    </w:p>
    <w:p>
      <w:r>
        <w:rPr>
          <w:rFonts w:ascii="Liberation Sans" w:hAnsi="Liberation Sans" w:eastAsia="Liberation Sans" w:cs="Liberation Sans"/>
          <w:color w:val="535c69"/>
          <w:sz w:val="21"/>
          <w:highlight w:val="white"/>
        </w:rPr>
        <w:t xml:space="preserve">Подробнее можете узнать позвонить по телефону 8 800 500 40 88 или перейти по ссылке: </w:t>
      </w:r>
      <w:hyperlink r:id="rId8" w:tooltip="http://publication.pravo.gov.ru/Document/View/0001202210070001" w:history="1">
        <w:r>
          <w:rPr>
            <w:rStyle w:val="792"/>
            <w:rFonts w:ascii="Liberation Sans" w:hAnsi="Liberation Sans" w:eastAsia="Liberation Sans" w:cs="Liberation Sans"/>
            <w:color w:val="2067b0"/>
            <w:sz w:val="21"/>
            <w:highlight w:val="white"/>
          </w:rPr>
          <w:t xml:space="preserve">http://publication.pravo.gov.ru/Docum...2210070001</w:t>
        </w:r>
      </w:hyperlink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publication.pravo.gov.ru/Document/View/00012022100700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377 - ФЗ</dc:title>
  <dc:subject/>
  <dc:creator/>
  <dc:description/>
  <cp:lastModifiedBy>Анна Дружинина</cp:lastModifiedBy>
  <cp:revision>2</cp:revision>
  <dcterms:modified xsi:type="dcterms:W3CDTF">2022-11-02T06:35:28Z</dcterms:modified>
</cp:coreProperties>
</file>